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33"/>
          <w:sz w:val="36"/>
          <w:szCs w:val="36"/>
          <w:bdr w:val="none" w:sz="0" w:space="0" w:color="auto" w:frame="1"/>
        </w:rPr>
        <w:t>公证机构办理抵押登记办法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7"/>
          <w:szCs w:val="27"/>
          <w:bdr w:val="none" w:sz="0" w:space="0" w:color="auto" w:frame="1"/>
        </w:rPr>
        <w:t>(2002年2月20日司法部令第68号发布</w:t>
      </w:r>
      <w:r>
        <w:rPr>
          <w:rFonts w:hint="eastAsia"/>
          <w:color w:val="333333"/>
          <w:sz w:val="27"/>
          <w:szCs w:val="27"/>
          <w:bdr w:val="none" w:sz="0" w:space="0" w:color="auto" w:frame="1"/>
        </w:rPr>
        <w:t> </w:t>
      </w:r>
      <w:r>
        <w:rPr>
          <w:rFonts w:ascii="仿宋" w:eastAsia="仿宋" w:hAnsi="仿宋" w:cs="仿宋" w:hint="eastAsia"/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rFonts w:ascii="仿宋" w:eastAsia="仿宋" w:hAnsi="仿宋" w:hint="eastAsia"/>
          <w:color w:val="333333"/>
          <w:sz w:val="27"/>
          <w:szCs w:val="27"/>
          <w:bdr w:val="none" w:sz="0" w:space="0" w:color="auto" w:frame="1"/>
        </w:rPr>
        <w:t>自发布之日起施行)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7"/>
          <w:szCs w:val="27"/>
          <w:bdr w:val="none" w:sz="0" w:space="0" w:color="auto" w:frame="1"/>
        </w:rPr>
        <w:br/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第一条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为规范公证机构的抵押登记活动，根据《中华人民共和国担保法》和《中华人民共和国公证暂行条例》等规定，制定本办法。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第二条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《中华人民共和国担保法》第四十三条第二款规定的公证部门为依法设立的公证机构。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第三条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《中华人民共和国担保法》第四十三条规定的“其他财产”包括下列内容：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 个人、事业单位、社会团体和其他非企业组织所有的机械设备、牲畜等生产资料；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位于农村的个人私有房产；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(三) 个人所有的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家俱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、家用电器、金银珠宝及其制品等生活资料；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(四) 其他除《中华人民共和国担保法》第三十七条和第四十二条规定之外的财产。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当事人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以前款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规定的财产抵押的，抵押人所在地的公证机构为登记部门，公证机构办理登记适用本办法规定。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第四条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以《中华人民共和国担保法》第四十二条第(二)项规定的财产抵押，县级以上地方人民政府规定由公证机构登记的；以及法律、法规规定的抵押合同自公证机构办理登记之日起生效的，公证机构办理登记适用本办法规定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第五条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以本办法第三条规定的财产抵押的，抵押权人自公证机构出具《抵押登记证书》之日起获得对抗第三人的权利。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以本办法第四条规定的财产抵押的，抵押合同自公证机构出具《抵押登记证书》之日起生效。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第六条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申办抵押登记，由抵押合同双方当事人共同提出申请，并填写《抵押登记申请表》。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lastRenderedPageBreak/>
        <w:t>《抵押登记申请表》应载明下列内容：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申请人为个人的，应载明其姓名、性别、出生日期、身份证明号码、工作单位、住址、联系方式等；申请人为法人或其他组织的，应载明法人或其他组织的名称、地址、法定代表人或负责人和代理人的姓名、性别、职务、联系方式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主合同和抵押合同的名称；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(三) 被担保的主债权的种类、数额；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(四) 抵押物的名称、数量、质量、状况、所在地、所有权或者使用权权属；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(五) 债务人履行债务的期限；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(六) 抵押担保的范围；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(七) 抵押物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属再次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抵押的，应载明再次抵押的情况；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(八) 申请抵押登记的日期；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(九) 其他需要说明的问题。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申请人应当在申请表上签名或盖章。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第七条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申请人应向公证机构提交下列材料：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 申请人和代理人的身份、资格证明；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主合同、抵押合同及其他相关合同；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(三)以本办法第四条规定的财产抵押的，应提交抵押物所有权或者使用权证书；以本办法第三条规定的财产抵押的，应提交抵押物所有权或者使用权证书或其他证明材料；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(四) 抵押物清单；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(五) 与抵押登记事项有关的其他材料。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第八条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符合下列条件的申请，公证机构应予以受理：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 申请抵押登记的财产符合本办法第三条、第四条的规定；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抵押登记事项属于本公证机构管辖；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lastRenderedPageBreak/>
        <w:t>(三) 本办法第七条所列各项材料齐全。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公证机构不予受理的，应记录在案，并及时告知申请人。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第九条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公证机构应当在受理之日起5个工作日内审查完毕，并决定是否予以登记。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有下列情形之一的，公证机构不予办理抵押登记：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 申请人提交的材料无效；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申请人对抵押物的名称、数量、质量、状况、所在地、所有权或者使用权权属存在争议；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(三) 以法律、法规规定的不得抵押的财产设定抵押的。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对不予登记的，公证机构应记录在案，并书面告知申请人。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第十一条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公证机构决定予以登记的，应向当事人出具《抵押登记证书》。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《抵押登记证书》应载明下列内容：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一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) 抵押人、抵押权人的姓名、身份证明号码或名称、单位代码、地址；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(二) 抵押担保的主债权的种类、数额；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(三) 抵押物的名称、数量、质量、状况、所在地、所有权或者使用权权属；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(四) 债务人履行债务的期限；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(五) 抵押担保的范围；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(六) 再次抵押情况；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(七) 抵押登记的日期；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(八) 其他事项。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第十二条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公证机构办理房地产抵押登记的，应在出具《抵押登记证书》后告知房地产管理部门。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第十三条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办理抵押登记的公证机构应配备计算机，录入抵押登记信息，并设立书面登录簿，登录本公证机构办理抵押登记的资料。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lastRenderedPageBreak/>
        <w:t>办理抵押登记的公证机构应及时与其他公证机构交换抵押登记信息，信息的交换办法由各省、自治区、直辖市司法厅(局)制定。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第十四条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当事人变更抵押合同向公证机构申请变更登记，经审查符合抵押登记规定的，公证机构应予以办理变更抵押登记。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当事人变更抵押合同未办理变更抵押登记的，自行变更后的抵押不发生《中华人民共和国担保法》规定的抵押登记效力。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第十五条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当事人履行完毕主债务或提前终止、解除抵押合同向公证机构申请办理注销登记的，公证机构应予以办理注销抵押登记。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第十六条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公证机构办理抵押登记，按规定收取抵押登记费。抵押登记费由当事人双方共同承担或从约定。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第十七条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当事人及有关人员可以查阅、抄录或复印抵押登记的资料，但应按规定交纳费用。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第十八条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以承包经营权等合同权益、应收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帐款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>或未来可得权益进行物权担保的，公证机构办理登记可比照本办法执行。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第十九条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本办法由司法部解释。</w:t>
      </w:r>
    </w:p>
    <w:p w:rsidR="00135469" w:rsidRDefault="00135469" w:rsidP="00135469">
      <w:pPr>
        <w:pStyle w:val="afa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第二十条</w:t>
      </w:r>
      <w:r>
        <w:rPr>
          <w:rFonts w:ascii="仿宋" w:eastAsia="仿宋" w:hAnsi="仿宋" w:hint="eastAsia"/>
          <w:color w:val="333333"/>
          <w:sz w:val="28"/>
          <w:szCs w:val="28"/>
          <w:bdr w:val="none" w:sz="0" w:space="0" w:color="auto" w:frame="1"/>
        </w:rPr>
        <w:t xml:space="preserve">　本办法自发布之日起施行。</w:t>
      </w:r>
    </w:p>
    <w:p w:rsidR="003B2256" w:rsidRPr="00135469" w:rsidRDefault="003B2256" w:rsidP="00135469">
      <w:pPr>
        <w:rPr>
          <w:szCs w:val="20"/>
        </w:rPr>
      </w:pPr>
    </w:p>
    <w:sectPr w:rsidR="003B2256" w:rsidRPr="00135469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D5" w:rsidRDefault="00E36FD5" w:rsidP="003B2256">
      <w:r>
        <w:separator/>
      </w:r>
    </w:p>
  </w:endnote>
  <w:endnote w:type="continuationSeparator" w:id="0">
    <w:p w:rsidR="00E36FD5" w:rsidRDefault="00E36FD5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03409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03409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3in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034099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03409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35469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034099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D5" w:rsidRDefault="00E36FD5" w:rsidP="003B2256">
      <w:r>
        <w:separator/>
      </w:r>
    </w:p>
  </w:footnote>
  <w:footnote w:type="continuationSeparator" w:id="0">
    <w:p w:rsidR="00E36FD5" w:rsidRDefault="00E36FD5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034099"/>
    <w:rsid w:val="00135469"/>
    <w:rsid w:val="00143413"/>
    <w:rsid w:val="00290080"/>
    <w:rsid w:val="00323D76"/>
    <w:rsid w:val="00345345"/>
    <w:rsid w:val="003A66DD"/>
    <w:rsid w:val="003B2256"/>
    <w:rsid w:val="004064E8"/>
    <w:rsid w:val="00483372"/>
    <w:rsid w:val="00554EB8"/>
    <w:rsid w:val="0064282F"/>
    <w:rsid w:val="00690873"/>
    <w:rsid w:val="007630C3"/>
    <w:rsid w:val="00793835"/>
    <w:rsid w:val="007B0DAB"/>
    <w:rsid w:val="00803A63"/>
    <w:rsid w:val="00872005"/>
    <w:rsid w:val="00984D89"/>
    <w:rsid w:val="009969A5"/>
    <w:rsid w:val="009E1211"/>
    <w:rsid w:val="00CF39F7"/>
    <w:rsid w:val="00D619CC"/>
    <w:rsid w:val="00D771C4"/>
    <w:rsid w:val="00DD58FE"/>
    <w:rsid w:val="00E36FD5"/>
    <w:rsid w:val="00F20EB7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paragraph" w:styleId="afa">
    <w:name w:val="Normal (Web)"/>
    <w:basedOn w:val="a"/>
    <w:uiPriority w:val="99"/>
    <w:unhideWhenUsed/>
    <w:rsid w:val="003453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34</TotalTime>
  <Pages>1</Pages>
  <Words>312</Words>
  <Characters>1781</Characters>
  <Application>Microsoft Office Word</Application>
  <DocSecurity>0</DocSecurity>
  <Lines>14</Lines>
  <Paragraphs>4</Paragraphs>
  <ScaleCrop>false</ScaleCrop>
  <Company>Newdaxie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15</cp:revision>
  <dcterms:created xsi:type="dcterms:W3CDTF">2017-11-02T15:25:00Z</dcterms:created>
  <dcterms:modified xsi:type="dcterms:W3CDTF">2024-05-22T09:47:00Z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